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8837" w14:textId="77777777" w:rsidR="00FB3591" w:rsidRPr="005A6792" w:rsidRDefault="00FB3591" w:rsidP="00FB3591">
      <w:pPr>
        <w:tabs>
          <w:tab w:val="num" w:pos="426"/>
        </w:tabs>
        <w:spacing w:after="0" w:line="240" w:lineRule="auto"/>
        <w:ind w:firstLine="284"/>
        <w:jc w:val="center"/>
        <w:rPr>
          <w:rFonts w:ascii="Times New Roman" w:hAnsi="Times New Roman"/>
          <w:b/>
          <w:bCs/>
        </w:rPr>
      </w:pPr>
      <w:r w:rsidRPr="00064E17">
        <w:rPr>
          <w:rFonts w:ascii="Times New Roman" w:hAnsi="Times New Roman"/>
          <w:b/>
          <w:bCs/>
        </w:rPr>
        <w:t>Чужие ресурсы в сделке — это не признак схемы</w:t>
      </w:r>
    </w:p>
    <w:p w14:paraId="655959AE" w14:textId="77777777" w:rsidR="00FB3591" w:rsidRPr="00064E17" w:rsidRDefault="00FB3591" w:rsidP="00FB3591">
      <w:pPr>
        <w:tabs>
          <w:tab w:val="num" w:pos="426"/>
        </w:tabs>
        <w:spacing w:after="0" w:line="240" w:lineRule="auto"/>
        <w:ind w:firstLine="284"/>
        <w:jc w:val="both"/>
        <w:rPr>
          <w:rFonts w:ascii="Times New Roman" w:hAnsi="Times New Roman"/>
          <w:b/>
          <w:bCs/>
        </w:rPr>
      </w:pPr>
    </w:p>
    <w:p w14:paraId="2FD24ECA" w14:textId="77777777" w:rsidR="00FB3591" w:rsidRPr="00064E17" w:rsidRDefault="00FB3591" w:rsidP="00FB3591">
      <w:pPr>
        <w:tabs>
          <w:tab w:val="num" w:pos="426"/>
        </w:tabs>
        <w:spacing w:after="0" w:line="240" w:lineRule="auto"/>
        <w:ind w:firstLine="284"/>
        <w:jc w:val="both"/>
        <w:rPr>
          <w:rFonts w:ascii="Times New Roman" w:hAnsi="Times New Roman"/>
          <w:i/>
          <w:iCs/>
        </w:rPr>
      </w:pPr>
      <w:r w:rsidRPr="00064E17">
        <w:rPr>
          <w:rFonts w:ascii="Times New Roman" w:hAnsi="Times New Roman"/>
          <w:b/>
          <w:bCs/>
          <w:i/>
          <w:iCs/>
        </w:rPr>
        <w:t>Из-за чего спорили:</w:t>
      </w:r>
      <w:r w:rsidRPr="00064E17">
        <w:rPr>
          <w:rFonts w:ascii="Times New Roman" w:hAnsi="Times New Roman"/>
          <w:i/>
          <w:iCs/>
        </w:rPr>
        <w:t> компания заказала транспортные услуги у контрагента, который арендовал автомобили для сделки. Инспекторы решили, что это налоговая схема.</w:t>
      </w:r>
    </w:p>
    <w:p w14:paraId="32256869" w14:textId="77777777" w:rsidR="00FB3591" w:rsidRPr="00064E17" w:rsidRDefault="00FB3591" w:rsidP="00FB3591">
      <w:pPr>
        <w:tabs>
          <w:tab w:val="num" w:pos="426"/>
        </w:tabs>
        <w:spacing w:after="0" w:line="240" w:lineRule="auto"/>
        <w:ind w:firstLine="284"/>
        <w:jc w:val="both"/>
        <w:rPr>
          <w:rFonts w:ascii="Times New Roman" w:hAnsi="Times New Roman"/>
          <w:i/>
          <w:iCs/>
        </w:rPr>
      </w:pPr>
      <w:r w:rsidRPr="00064E17">
        <w:rPr>
          <w:rFonts w:ascii="Times New Roman" w:hAnsi="Times New Roman"/>
          <w:b/>
          <w:bCs/>
          <w:i/>
          <w:iCs/>
        </w:rPr>
        <w:t>Кто выиграл:</w:t>
      </w:r>
      <w:r w:rsidRPr="00064E17">
        <w:rPr>
          <w:rFonts w:ascii="Times New Roman" w:hAnsi="Times New Roman"/>
          <w:i/>
          <w:iCs/>
        </w:rPr>
        <w:t> компания.</w:t>
      </w:r>
    </w:p>
    <w:p w14:paraId="6023537E" w14:textId="77777777" w:rsidR="00FB3591" w:rsidRPr="00064E17" w:rsidRDefault="00FB3591" w:rsidP="00FB3591">
      <w:pPr>
        <w:tabs>
          <w:tab w:val="num" w:pos="426"/>
        </w:tabs>
        <w:spacing w:after="0" w:line="240" w:lineRule="auto"/>
        <w:ind w:firstLine="284"/>
        <w:jc w:val="both"/>
        <w:rPr>
          <w:rFonts w:ascii="Times New Roman" w:hAnsi="Times New Roman"/>
          <w:i/>
          <w:iCs/>
        </w:rPr>
      </w:pPr>
      <w:r w:rsidRPr="00064E17">
        <w:rPr>
          <w:rFonts w:ascii="Times New Roman" w:hAnsi="Times New Roman"/>
          <w:b/>
          <w:bCs/>
          <w:i/>
          <w:iCs/>
        </w:rPr>
        <w:t>Победный аргумент:</w:t>
      </w:r>
      <w:r w:rsidRPr="00064E17">
        <w:rPr>
          <w:rFonts w:ascii="Times New Roman" w:hAnsi="Times New Roman"/>
          <w:i/>
          <w:iCs/>
        </w:rPr>
        <w:t> контрагент оказывал услуги длительно, у организации есть документы, которые подтверждают реальность сделки.</w:t>
      </w:r>
    </w:p>
    <w:p w14:paraId="4646F053" w14:textId="77777777" w:rsidR="00FB3591" w:rsidRPr="005A6792" w:rsidRDefault="00FB3591" w:rsidP="00FB3591">
      <w:pPr>
        <w:tabs>
          <w:tab w:val="num" w:pos="426"/>
        </w:tabs>
        <w:spacing w:after="0" w:line="240" w:lineRule="auto"/>
        <w:ind w:firstLine="284"/>
        <w:jc w:val="both"/>
        <w:rPr>
          <w:rFonts w:ascii="Times New Roman" w:hAnsi="Times New Roman"/>
          <w:b/>
          <w:bCs/>
        </w:rPr>
      </w:pPr>
    </w:p>
    <w:p w14:paraId="2A7E7B0B" w14:textId="77777777" w:rsidR="00FB3591" w:rsidRPr="00064E17" w:rsidRDefault="00FB3591" w:rsidP="00FB3591">
      <w:pPr>
        <w:tabs>
          <w:tab w:val="num" w:pos="426"/>
        </w:tabs>
        <w:spacing w:after="0" w:line="240" w:lineRule="auto"/>
        <w:ind w:firstLine="284"/>
        <w:jc w:val="both"/>
        <w:rPr>
          <w:rFonts w:ascii="Times New Roman" w:hAnsi="Times New Roman"/>
        </w:rPr>
      </w:pPr>
      <w:r w:rsidRPr="00064E17">
        <w:rPr>
          <w:rFonts w:ascii="Times New Roman" w:hAnsi="Times New Roman"/>
        </w:rPr>
        <w:t>Компания заказала транспортные услуги и заявила по ним вычет НДС. Инспекторы отказали: обнаружили, что у исполнителя нет в собственности автомобилей. Оказалось, контрагент брал транспорт в аренду у ИП на спецрежимах. Инспекторы решили, что это именно предприниматели оказывают транспортные услуги, а исполнитель на общей системе лишь оформляет документы для вычетов.</w:t>
      </w:r>
    </w:p>
    <w:p w14:paraId="51431522" w14:textId="77777777" w:rsidR="00FB3591" w:rsidRPr="005A6792" w:rsidRDefault="00FB3591" w:rsidP="00FB3591">
      <w:pPr>
        <w:tabs>
          <w:tab w:val="num" w:pos="426"/>
        </w:tabs>
        <w:spacing w:after="0" w:line="240" w:lineRule="auto"/>
        <w:ind w:firstLine="284"/>
        <w:jc w:val="both"/>
        <w:rPr>
          <w:rFonts w:ascii="Times New Roman" w:hAnsi="Times New Roman"/>
        </w:rPr>
      </w:pPr>
      <w:r w:rsidRPr="00064E17">
        <w:rPr>
          <w:rFonts w:ascii="Times New Roman" w:hAnsi="Times New Roman"/>
        </w:rPr>
        <w:t>По мнению налоговиков, контрагент не мог оказывать транспортные услуги без собственных автомобилей. Недвижимости во владении у него тоже не было. Контролеры назвали сделку фиктивной и решили, что деньги возвращались к организации по замкнутой цепочке. Одинаковые IP-адреса и контакты указывают на взаимозависимость исполнителя и предпринимателей. Компании — заказчику транспортных услуг доначислили более 2,8 млн руб. НДС, потребовали пени и штраф — 20 процентов от недоимки. Организация обратилась в суд и выиграла (постановление Арбитражного суда Центрального округа от 22.08.2025 по делу № А14-22106/2023).</w:t>
      </w:r>
    </w:p>
    <w:p w14:paraId="158EA5C7" w14:textId="77777777" w:rsidR="00FB3591" w:rsidRPr="00064E17" w:rsidRDefault="00FB3591" w:rsidP="00FB3591">
      <w:pPr>
        <w:tabs>
          <w:tab w:val="num" w:pos="426"/>
        </w:tabs>
        <w:spacing w:after="0" w:line="240" w:lineRule="auto"/>
        <w:ind w:firstLine="284"/>
        <w:jc w:val="both"/>
        <w:rPr>
          <w:rFonts w:ascii="Times New Roman" w:hAnsi="Times New Roman"/>
        </w:rPr>
      </w:pPr>
    </w:p>
    <w:p w14:paraId="1C7A7067" w14:textId="10437A74" w:rsidR="00FB3591" w:rsidRPr="00064E17" w:rsidRDefault="00FB3591" w:rsidP="00FB3591">
      <w:pPr>
        <w:tabs>
          <w:tab w:val="num" w:pos="426"/>
        </w:tabs>
        <w:spacing w:after="0" w:line="240" w:lineRule="auto"/>
        <w:ind w:firstLine="284"/>
        <w:jc w:val="both"/>
        <w:rPr>
          <w:rFonts w:ascii="Times New Roman" w:hAnsi="Times New Roman"/>
          <w:b/>
          <w:bCs/>
        </w:rPr>
      </w:pPr>
      <w:r w:rsidRPr="00064E17">
        <w:rPr>
          <w:rFonts w:ascii="Times New Roman" w:hAnsi="Times New Roman"/>
          <w:b/>
          <w:bCs/>
        </w:rPr>
        <w:t>Если у контрагента нет собственных ресурсов,</w:t>
      </w:r>
      <w:r>
        <w:rPr>
          <w:rFonts w:ascii="Times New Roman" w:hAnsi="Times New Roman"/>
          <w:b/>
          <w:bCs/>
        </w:rPr>
        <w:t xml:space="preserve"> </w:t>
      </w:r>
      <w:r w:rsidRPr="00064E17">
        <w:rPr>
          <w:rFonts w:ascii="Times New Roman" w:hAnsi="Times New Roman"/>
          <w:b/>
          <w:bCs/>
        </w:rPr>
        <w:t>у налоговиков появляется повод заподозрить</w:t>
      </w:r>
      <w:r>
        <w:rPr>
          <w:rFonts w:ascii="Times New Roman" w:hAnsi="Times New Roman"/>
          <w:b/>
          <w:bCs/>
        </w:rPr>
        <w:t xml:space="preserve"> </w:t>
      </w:r>
      <w:r w:rsidRPr="00064E17">
        <w:rPr>
          <w:rFonts w:ascii="Times New Roman" w:hAnsi="Times New Roman"/>
          <w:b/>
          <w:bCs/>
        </w:rPr>
        <w:t>нереальность сделки. Но это не значит, что контрагент</w:t>
      </w:r>
      <w:r>
        <w:rPr>
          <w:rFonts w:ascii="Times New Roman" w:hAnsi="Times New Roman"/>
          <w:b/>
          <w:bCs/>
        </w:rPr>
        <w:t xml:space="preserve"> </w:t>
      </w:r>
      <w:r w:rsidRPr="00064E17">
        <w:rPr>
          <w:rFonts w:ascii="Times New Roman" w:hAnsi="Times New Roman"/>
          <w:b/>
          <w:bCs/>
        </w:rPr>
        <w:t>не может оказывать услуги арендованными средствами.</w:t>
      </w:r>
    </w:p>
    <w:p w14:paraId="2036E03C" w14:textId="77777777" w:rsidR="00FB3591" w:rsidRPr="00064E17" w:rsidRDefault="00FB3591" w:rsidP="00FB3591">
      <w:pPr>
        <w:tabs>
          <w:tab w:val="num" w:pos="426"/>
        </w:tabs>
        <w:spacing w:after="0" w:line="240" w:lineRule="auto"/>
        <w:ind w:firstLine="284"/>
        <w:jc w:val="both"/>
        <w:rPr>
          <w:rFonts w:ascii="Times New Roman" w:hAnsi="Times New Roman"/>
        </w:rPr>
      </w:pPr>
      <w:r w:rsidRPr="00064E17">
        <w:rPr>
          <w:rFonts w:ascii="Times New Roman" w:hAnsi="Times New Roman"/>
        </w:rPr>
        <w:t>МАКСИМ БАЛАКИН,</w:t>
      </w:r>
    </w:p>
    <w:p w14:paraId="744515D7" w14:textId="77777777" w:rsidR="00FB3591" w:rsidRPr="00064E17" w:rsidRDefault="00FB3591" w:rsidP="00FB3591">
      <w:pPr>
        <w:tabs>
          <w:tab w:val="num" w:pos="426"/>
        </w:tabs>
        <w:spacing w:after="0" w:line="240" w:lineRule="auto"/>
        <w:ind w:firstLine="284"/>
        <w:jc w:val="both"/>
        <w:rPr>
          <w:rFonts w:ascii="Times New Roman" w:hAnsi="Times New Roman"/>
        </w:rPr>
      </w:pPr>
      <w:r w:rsidRPr="00064E17">
        <w:rPr>
          <w:rFonts w:ascii="Times New Roman" w:hAnsi="Times New Roman"/>
        </w:rPr>
        <w:t>советник государственной гражданской службы РФ 2-го класса</w:t>
      </w:r>
    </w:p>
    <w:p w14:paraId="1963D437" w14:textId="77777777" w:rsidR="00FB3591" w:rsidRPr="00064E17" w:rsidRDefault="00FB3591" w:rsidP="00FB3591">
      <w:pPr>
        <w:tabs>
          <w:tab w:val="num" w:pos="426"/>
        </w:tabs>
        <w:spacing w:after="0" w:line="240" w:lineRule="auto"/>
        <w:ind w:firstLine="284"/>
        <w:jc w:val="both"/>
        <w:rPr>
          <w:rFonts w:ascii="Times New Roman" w:hAnsi="Times New Roman"/>
        </w:rPr>
      </w:pPr>
    </w:p>
    <w:p w14:paraId="25D1063E" w14:textId="77777777" w:rsidR="00FB3591" w:rsidRPr="00064E17" w:rsidRDefault="00FB3591" w:rsidP="00FB3591">
      <w:pPr>
        <w:tabs>
          <w:tab w:val="num" w:pos="426"/>
        </w:tabs>
        <w:spacing w:after="0" w:line="240" w:lineRule="auto"/>
        <w:ind w:firstLine="284"/>
        <w:jc w:val="both"/>
        <w:rPr>
          <w:rFonts w:ascii="Times New Roman" w:hAnsi="Times New Roman"/>
          <w:b/>
          <w:bCs/>
        </w:rPr>
      </w:pPr>
      <w:r w:rsidRPr="00064E17">
        <w:rPr>
          <w:rFonts w:ascii="Times New Roman" w:hAnsi="Times New Roman"/>
          <w:b/>
          <w:bCs/>
        </w:rPr>
        <w:t>Какие аргументы помогли компании выиграть дело</w:t>
      </w:r>
    </w:p>
    <w:p w14:paraId="5EE93E35" w14:textId="77777777" w:rsidR="00FB3591" w:rsidRPr="00064E17" w:rsidRDefault="00FB3591" w:rsidP="00FB3591">
      <w:pPr>
        <w:tabs>
          <w:tab w:val="num" w:pos="426"/>
        </w:tabs>
        <w:spacing w:after="0" w:line="240" w:lineRule="auto"/>
        <w:ind w:firstLine="284"/>
        <w:jc w:val="both"/>
        <w:rPr>
          <w:rFonts w:ascii="Times New Roman" w:hAnsi="Times New Roman"/>
        </w:rPr>
      </w:pPr>
      <w:r w:rsidRPr="00064E17">
        <w:rPr>
          <w:rFonts w:ascii="Times New Roman" w:hAnsi="Times New Roman"/>
        </w:rPr>
        <w:t>Налоговики не доказали фиктивный документооборот. Тот факт, что у контрагента отсутствуют транспортные средства, не означает, что сделка нереальна. Компания пояснила, по каким критериям выбрала именно этого партнера и почему с ним давно сотрудничает. Кроме того, заказчик в любом случае не отвечает за действия исполнителя.</w:t>
      </w:r>
    </w:p>
    <w:p w14:paraId="35044E3F" w14:textId="77777777" w:rsidR="00FB3591" w:rsidRPr="00064E17" w:rsidRDefault="00FB3591" w:rsidP="00FB3591">
      <w:pPr>
        <w:tabs>
          <w:tab w:val="num" w:pos="426"/>
        </w:tabs>
        <w:spacing w:after="0" w:line="240" w:lineRule="auto"/>
        <w:ind w:firstLine="284"/>
        <w:jc w:val="both"/>
        <w:rPr>
          <w:rFonts w:ascii="Times New Roman" w:hAnsi="Times New Roman"/>
        </w:rPr>
      </w:pPr>
      <w:r w:rsidRPr="00064E17">
        <w:rPr>
          <w:rFonts w:ascii="Times New Roman" w:hAnsi="Times New Roman"/>
        </w:rPr>
        <w:t>Организация представила все документы по сделке: договор перевозки, транспортные накладные, счета-фактуры и УПД. Также показала аналитические выборки из оборотно-сальдовых ведомостей по счету 60 со сведениями обо всех контрагентах-перевозчиках. На этого партнера приходилась незначительная доля в общем объеме перевозок — не более 32 процентов. Стоимость услуг при этом особо не отличалась от цен у других перевозчиков.</w:t>
      </w:r>
    </w:p>
    <w:p w14:paraId="013A9C4F" w14:textId="77777777" w:rsidR="00FB3591" w:rsidRPr="00064E17" w:rsidRDefault="00FB3591" w:rsidP="00FB3591">
      <w:pPr>
        <w:tabs>
          <w:tab w:val="num" w:pos="426"/>
        </w:tabs>
        <w:spacing w:after="0" w:line="240" w:lineRule="auto"/>
        <w:ind w:firstLine="284"/>
        <w:jc w:val="both"/>
        <w:rPr>
          <w:rFonts w:ascii="Times New Roman" w:hAnsi="Times New Roman"/>
          <w:b/>
          <w:bCs/>
        </w:rPr>
      </w:pPr>
      <w:r w:rsidRPr="00064E17">
        <w:rPr>
          <w:rFonts w:ascii="Times New Roman" w:hAnsi="Times New Roman"/>
          <w:b/>
          <w:bCs/>
        </w:rPr>
        <w:t>Совет редакции: собирайте документы, которые подтвердят, что партнер способен исполнить сделку</w:t>
      </w:r>
    </w:p>
    <w:p w14:paraId="408B38DF" w14:textId="77777777" w:rsidR="00FB3591" w:rsidRPr="00064E17" w:rsidRDefault="00FB3591" w:rsidP="00FB3591">
      <w:pPr>
        <w:tabs>
          <w:tab w:val="num" w:pos="426"/>
        </w:tabs>
        <w:spacing w:after="0" w:line="240" w:lineRule="auto"/>
        <w:ind w:firstLine="284"/>
        <w:jc w:val="both"/>
        <w:rPr>
          <w:rFonts w:ascii="Times New Roman" w:hAnsi="Times New Roman"/>
        </w:rPr>
      </w:pPr>
      <w:r w:rsidRPr="00064E17">
        <w:rPr>
          <w:rFonts w:ascii="Times New Roman" w:hAnsi="Times New Roman"/>
        </w:rPr>
        <w:t>Рассматриваемый спор — подтверждение, что необходимо собрать досье на контрагента, прежде чем заключить сделку. Налоговики не всегда учитывают, что исполнитель может арендовать инструменты, закон этого не запрещает. Поэтому составьте критерии для подбора деловых партнеров и оценивайте по ним будущих контрагентов. Для этого можете воспользоваться </w:t>
      </w:r>
      <w:hyperlink r:id="rId4" w:tgtFrame="_blank" w:history="1">
        <w:r w:rsidRPr="00064E17">
          <w:rPr>
            <w:rStyle w:val="ac"/>
            <w:rFonts w:ascii="Times New Roman" w:hAnsi="Times New Roman"/>
          </w:rPr>
          <w:t>сервисом Главбух Контрагенты</w:t>
        </w:r>
      </w:hyperlink>
      <w:r w:rsidRPr="00064E17">
        <w:rPr>
          <w:rFonts w:ascii="Times New Roman" w:hAnsi="Times New Roman"/>
        </w:rPr>
        <w:t>. Проверьте контрагента по </w:t>
      </w:r>
      <w:hyperlink r:id="rId5" w:tgtFrame="_blank" w:history="1">
        <w:r w:rsidRPr="00064E17">
          <w:rPr>
            <w:rStyle w:val="ac"/>
            <w:rFonts w:ascii="Times New Roman" w:hAnsi="Times New Roman"/>
          </w:rPr>
          <w:t>методике ФНС</w:t>
        </w:r>
      </w:hyperlink>
      <w:r w:rsidRPr="00064E17">
        <w:rPr>
          <w:rFonts w:ascii="Times New Roman" w:hAnsi="Times New Roman"/>
        </w:rPr>
        <w:t>, чтобы точно не было проблем с вычетами.</w:t>
      </w:r>
    </w:p>
    <w:p w14:paraId="3811A95E" w14:textId="77777777" w:rsidR="00FB3591" w:rsidRPr="005A6792" w:rsidRDefault="00FB3591" w:rsidP="00FB3591">
      <w:pPr>
        <w:tabs>
          <w:tab w:val="num" w:pos="426"/>
        </w:tabs>
        <w:spacing w:after="0" w:line="240" w:lineRule="auto"/>
        <w:ind w:firstLine="284"/>
        <w:jc w:val="both"/>
        <w:rPr>
          <w:rFonts w:ascii="Times New Roman" w:hAnsi="Times New Roman"/>
        </w:rPr>
      </w:pPr>
      <w:r w:rsidRPr="00064E17">
        <w:rPr>
          <w:rFonts w:ascii="Times New Roman" w:hAnsi="Times New Roman"/>
        </w:rPr>
        <w:t>Документы по сделке тоже важная составляющая работы с контрагентом. В данном случае компания не ограничилась первичкой и представила всевозможные подтверждения реальности договора. Организация без сопротивления давала подробные пояснения в рамках проверки дела, что доказало отсутствие умысла.</w:t>
      </w:r>
    </w:p>
    <w:p w14:paraId="189B3EBD" w14:textId="77777777" w:rsidR="00FB3591" w:rsidRPr="00064E17" w:rsidRDefault="00FB3591" w:rsidP="00FB3591">
      <w:pPr>
        <w:tabs>
          <w:tab w:val="num" w:pos="426"/>
        </w:tabs>
        <w:spacing w:after="0" w:line="240" w:lineRule="auto"/>
        <w:ind w:firstLine="284"/>
        <w:jc w:val="both"/>
        <w:rPr>
          <w:rFonts w:ascii="Times New Roman" w:hAnsi="Times New Roman"/>
        </w:rPr>
      </w:pPr>
    </w:p>
    <w:p w14:paraId="16C285FF" w14:textId="56052A3C" w:rsidR="00FB3591" w:rsidRPr="00064E17" w:rsidRDefault="00FB3591" w:rsidP="00FB3591">
      <w:pPr>
        <w:tabs>
          <w:tab w:val="num" w:pos="426"/>
        </w:tabs>
        <w:spacing w:after="0" w:line="240" w:lineRule="auto"/>
        <w:ind w:firstLine="284"/>
        <w:jc w:val="both"/>
        <w:rPr>
          <w:rFonts w:ascii="Times New Roman" w:hAnsi="Times New Roman"/>
          <w:b/>
          <w:bCs/>
        </w:rPr>
      </w:pPr>
      <w:r w:rsidRPr="00064E17">
        <w:rPr>
          <w:rFonts w:ascii="Times New Roman" w:hAnsi="Times New Roman"/>
          <w:b/>
          <w:bCs/>
        </w:rPr>
        <w:t>Претензии налоговиков незаконны, если продавец</w:t>
      </w:r>
      <w:r>
        <w:rPr>
          <w:rFonts w:ascii="Times New Roman" w:hAnsi="Times New Roman"/>
          <w:b/>
          <w:bCs/>
        </w:rPr>
        <w:t xml:space="preserve"> </w:t>
      </w:r>
      <w:r w:rsidRPr="00064E17">
        <w:rPr>
          <w:rFonts w:ascii="Times New Roman" w:hAnsi="Times New Roman"/>
          <w:b/>
          <w:bCs/>
        </w:rPr>
        <w:t>добросовестный и ведет деятельность. Тем не менее</w:t>
      </w:r>
      <w:r>
        <w:rPr>
          <w:rFonts w:ascii="Times New Roman" w:hAnsi="Times New Roman"/>
          <w:b/>
          <w:bCs/>
        </w:rPr>
        <w:t xml:space="preserve"> </w:t>
      </w:r>
      <w:r w:rsidRPr="00064E17">
        <w:rPr>
          <w:rFonts w:ascii="Times New Roman" w:hAnsi="Times New Roman"/>
          <w:b/>
          <w:bCs/>
        </w:rPr>
        <w:t>стоит проверять и благонадежных контрагентов:</w:t>
      </w:r>
      <w:r>
        <w:rPr>
          <w:rFonts w:ascii="Times New Roman" w:hAnsi="Times New Roman"/>
          <w:b/>
          <w:bCs/>
        </w:rPr>
        <w:t xml:space="preserve"> </w:t>
      </w:r>
      <w:r w:rsidRPr="00064E17">
        <w:rPr>
          <w:rFonts w:ascii="Times New Roman" w:hAnsi="Times New Roman"/>
          <w:b/>
          <w:bCs/>
        </w:rPr>
        <w:t>узнайте, есть ли сайт, ресурсы, сотрудники.</w:t>
      </w:r>
    </w:p>
    <w:p w14:paraId="3F9B36FE" w14:textId="77777777" w:rsidR="00FB3591" w:rsidRPr="00064E17" w:rsidRDefault="00FB3591" w:rsidP="00FB3591">
      <w:pPr>
        <w:tabs>
          <w:tab w:val="num" w:pos="426"/>
        </w:tabs>
        <w:spacing w:after="0" w:line="240" w:lineRule="auto"/>
        <w:ind w:firstLine="284"/>
        <w:jc w:val="both"/>
        <w:rPr>
          <w:rFonts w:ascii="Times New Roman" w:hAnsi="Times New Roman"/>
        </w:rPr>
      </w:pPr>
      <w:r w:rsidRPr="00064E17">
        <w:rPr>
          <w:rFonts w:ascii="Times New Roman" w:hAnsi="Times New Roman"/>
        </w:rPr>
        <w:t>АНТОН НИКИФОРОВ,</w:t>
      </w:r>
    </w:p>
    <w:p w14:paraId="40998052" w14:textId="77777777" w:rsidR="00FB3591" w:rsidRPr="00064E17" w:rsidRDefault="00FB3591" w:rsidP="00FB3591">
      <w:pPr>
        <w:tabs>
          <w:tab w:val="num" w:pos="426"/>
        </w:tabs>
        <w:spacing w:after="0" w:line="240" w:lineRule="auto"/>
        <w:ind w:firstLine="284"/>
        <w:jc w:val="both"/>
        <w:rPr>
          <w:rFonts w:ascii="Times New Roman" w:hAnsi="Times New Roman"/>
        </w:rPr>
      </w:pPr>
      <w:r w:rsidRPr="00064E17">
        <w:rPr>
          <w:rFonts w:ascii="Times New Roman" w:hAnsi="Times New Roman"/>
        </w:rPr>
        <w:lastRenderedPageBreak/>
        <w:t xml:space="preserve">адвокат, партнер юридической компании </w:t>
      </w:r>
      <w:proofErr w:type="spellStart"/>
      <w:r w:rsidRPr="00064E17">
        <w:rPr>
          <w:rFonts w:ascii="Times New Roman" w:hAnsi="Times New Roman"/>
        </w:rPr>
        <w:t>Taxadvisor</w:t>
      </w:r>
      <w:proofErr w:type="spellEnd"/>
    </w:p>
    <w:p w14:paraId="5BDC9FA8" w14:textId="77777777" w:rsidR="00FB3591" w:rsidRPr="00064E17" w:rsidRDefault="00FB3591" w:rsidP="00FB3591">
      <w:pPr>
        <w:tabs>
          <w:tab w:val="num" w:pos="426"/>
        </w:tabs>
        <w:spacing w:after="0" w:line="240" w:lineRule="auto"/>
        <w:ind w:firstLine="284"/>
        <w:jc w:val="both"/>
        <w:rPr>
          <w:rFonts w:ascii="Times New Roman" w:hAnsi="Times New Roman"/>
        </w:rPr>
      </w:pPr>
    </w:p>
    <w:p w14:paraId="39E5D004" w14:textId="77777777" w:rsidR="00FB3591" w:rsidRPr="00064E17" w:rsidRDefault="00FB3591" w:rsidP="00FB3591">
      <w:pPr>
        <w:tabs>
          <w:tab w:val="num" w:pos="426"/>
        </w:tabs>
        <w:spacing w:after="0" w:line="240" w:lineRule="auto"/>
        <w:ind w:firstLine="284"/>
        <w:jc w:val="both"/>
        <w:rPr>
          <w:rFonts w:ascii="Times New Roman" w:hAnsi="Times New Roman"/>
          <w:b/>
          <w:bCs/>
        </w:rPr>
      </w:pPr>
      <w:r w:rsidRPr="00064E17">
        <w:rPr>
          <w:rFonts w:ascii="Times New Roman" w:hAnsi="Times New Roman"/>
          <w:b/>
          <w:bCs/>
        </w:rPr>
        <w:t>О чем еще компании недавно спорили с налоговиками</w:t>
      </w:r>
    </w:p>
    <w:tbl>
      <w:tblPr>
        <w:tblW w:w="0" w:type="auto"/>
        <w:tblCellMar>
          <w:left w:w="0" w:type="dxa"/>
          <w:right w:w="0" w:type="dxa"/>
        </w:tblCellMar>
        <w:tblLook w:val="04A0" w:firstRow="1" w:lastRow="0" w:firstColumn="1" w:lastColumn="0" w:noHBand="0" w:noVBand="1"/>
      </w:tblPr>
      <w:tblGrid>
        <w:gridCol w:w="4861"/>
        <w:gridCol w:w="4494"/>
      </w:tblGrid>
      <w:tr w:rsidR="00FB3591" w:rsidRPr="00C472EE" w14:paraId="629F1595" w14:textId="77777777" w:rsidTr="00027419">
        <w:trPr>
          <w:tblHeader/>
        </w:trPr>
        <w:tc>
          <w:tcPr>
            <w:tcW w:w="0" w:type="auto"/>
            <w:tcMar>
              <w:top w:w="105" w:type="dxa"/>
              <w:left w:w="0" w:type="dxa"/>
              <w:bottom w:w="105" w:type="dxa"/>
              <w:right w:w="525" w:type="dxa"/>
            </w:tcMar>
            <w:vAlign w:val="bottom"/>
            <w:hideMark/>
          </w:tcPr>
          <w:p w14:paraId="4069F714" w14:textId="77777777" w:rsidR="00FB3591" w:rsidRPr="00C472EE" w:rsidRDefault="00FB3591" w:rsidP="00027419">
            <w:pPr>
              <w:tabs>
                <w:tab w:val="num" w:pos="426"/>
              </w:tabs>
              <w:spacing w:after="0" w:line="240" w:lineRule="auto"/>
              <w:ind w:firstLine="284"/>
              <w:jc w:val="both"/>
              <w:rPr>
                <w:rFonts w:ascii="Times New Roman" w:hAnsi="Times New Roman"/>
                <w:b/>
                <w:bCs/>
              </w:rPr>
            </w:pPr>
            <w:r w:rsidRPr="00C472EE">
              <w:rPr>
                <w:rFonts w:ascii="Times New Roman" w:hAnsi="Times New Roman"/>
                <w:b/>
                <w:bCs/>
              </w:rPr>
              <w:t>Ситуация</w:t>
            </w:r>
          </w:p>
        </w:tc>
        <w:tc>
          <w:tcPr>
            <w:tcW w:w="0" w:type="auto"/>
            <w:tcMar>
              <w:top w:w="105" w:type="dxa"/>
              <w:left w:w="0" w:type="dxa"/>
              <w:bottom w:w="105" w:type="dxa"/>
              <w:right w:w="525" w:type="dxa"/>
            </w:tcMar>
            <w:vAlign w:val="bottom"/>
            <w:hideMark/>
          </w:tcPr>
          <w:p w14:paraId="3C389B00" w14:textId="77777777" w:rsidR="00FB3591" w:rsidRPr="00C472EE" w:rsidRDefault="00FB3591" w:rsidP="00027419">
            <w:pPr>
              <w:tabs>
                <w:tab w:val="num" w:pos="426"/>
              </w:tabs>
              <w:spacing w:after="0" w:line="240" w:lineRule="auto"/>
              <w:ind w:firstLine="284"/>
              <w:jc w:val="both"/>
              <w:rPr>
                <w:rFonts w:ascii="Times New Roman" w:hAnsi="Times New Roman"/>
                <w:b/>
                <w:bCs/>
              </w:rPr>
            </w:pPr>
            <w:r w:rsidRPr="00C472EE">
              <w:rPr>
                <w:rFonts w:ascii="Times New Roman" w:hAnsi="Times New Roman"/>
                <w:b/>
                <w:bCs/>
              </w:rPr>
              <w:t>Решение суда</w:t>
            </w:r>
          </w:p>
        </w:tc>
      </w:tr>
      <w:tr w:rsidR="00FB3591" w:rsidRPr="00C472EE" w14:paraId="08C97BB1" w14:textId="77777777" w:rsidTr="00027419">
        <w:tc>
          <w:tcPr>
            <w:tcW w:w="0" w:type="auto"/>
            <w:gridSpan w:val="2"/>
            <w:tcMar>
              <w:top w:w="105" w:type="dxa"/>
              <w:left w:w="0" w:type="dxa"/>
              <w:bottom w:w="105" w:type="dxa"/>
              <w:right w:w="525" w:type="dxa"/>
            </w:tcMar>
            <w:hideMark/>
          </w:tcPr>
          <w:p w14:paraId="0C0BD304" w14:textId="77777777" w:rsidR="00FB3591" w:rsidRPr="00C472EE" w:rsidRDefault="00FB3591" w:rsidP="00027419">
            <w:pPr>
              <w:tabs>
                <w:tab w:val="num" w:pos="426"/>
              </w:tabs>
              <w:spacing w:after="0" w:line="240" w:lineRule="auto"/>
              <w:ind w:firstLine="284"/>
              <w:jc w:val="both"/>
              <w:rPr>
                <w:rFonts w:ascii="Times New Roman" w:hAnsi="Times New Roman"/>
                <w:b/>
                <w:bCs/>
              </w:rPr>
            </w:pPr>
            <w:r w:rsidRPr="00C472EE">
              <w:rPr>
                <w:rFonts w:ascii="Times New Roman" w:hAnsi="Times New Roman"/>
                <w:b/>
                <w:bCs/>
              </w:rPr>
              <w:t>О вычетах по сделкам с техничками</w:t>
            </w:r>
          </w:p>
          <w:p w14:paraId="3CAB0AC8" w14:textId="4F626091"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b/>
                <w:noProof/>
              </w:rPr>
              <w:drawing>
                <wp:inline distT="0" distB="0" distL="0" distR="0" wp14:anchorId="6020ACE2" wp14:editId="4B67277A">
                  <wp:extent cx="1524000" cy="1200785"/>
                  <wp:effectExtent l="0" t="0" r="0" b="0"/>
                  <wp:docPr id="162586765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200785"/>
                          </a:xfrm>
                          <a:prstGeom prst="rect">
                            <a:avLst/>
                          </a:prstGeom>
                          <a:noFill/>
                          <a:ln>
                            <a:noFill/>
                          </a:ln>
                        </pic:spPr>
                      </pic:pic>
                    </a:graphicData>
                  </a:graphic>
                </wp:inline>
              </w:drawing>
            </w:r>
            <w:r w:rsidRPr="00C472EE">
              <w:rPr>
                <w:rFonts w:ascii="Times New Roman" w:hAnsi="Times New Roman"/>
                <w:b/>
                <w:bCs/>
              </w:rPr>
              <w:t> Опасно покупать товары, которые на самом деле компании не нужны</w:t>
            </w:r>
          </w:p>
        </w:tc>
      </w:tr>
      <w:tr w:rsidR="00FB3591" w:rsidRPr="00C472EE" w14:paraId="1A6ACD8C" w14:textId="77777777" w:rsidTr="00027419">
        <w:tc>
          <w:tcPr>
            <w:tcW w:w="0" w:type="auto"/>
            <w:tcMar>
              <w:top w:w="105" w:type="dxa"/>
              <w:left w:w="0" w:type="dxa"/>
              <w:bottom w:w="105" w:type="dxa"/>
              <w:right w:w="525" w:type="dxa"/>
            </w:tcMar>
            <w:hideMark/>
          </w:tcPr>
          <w:p w14:paraId="349AF165" w14:textId="77777777"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rPr>
              <w:t>Компания покупала товары и заказывала услуги у контрагентов, а затем заявляла НДС к вычету. Налоговики в вычетах отказали: решили, что сделки нереальные. Организация представила подтверждающие документы, но инспекторы все равно доначислили НДС, потребовали пени и 20-процентный штраф. Компания решила оспорить доначисления в суде</w:t>
            </w:r>
          </w:p>
        </w:tc>
        <w:tc>
          <w:tcPr>
            <w:tcW w:w="0" w:type="auto"/>
            <w:tcMar>
              <w:top w:w="105" w:type="dxa"/>
              <w:left w:w="0" w:type="dxa"/>
              <w:bottom w:w="105" w:type="dxa"/>
              <w:right w:w="525" w:type="dxa"/>
            </w:tcMar>
            <w:hideMark/>
          </w:tcPr>
          <w:p w14:paraId="372B7D18" w14:textId="77777777"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rPr>
              <w:t>Судьи поддержали инспекцию. Факты поставок компания не подтвердила. Кроме того, организация не нуждалась в купленных товарах и не использовала их в деятельности. Доказательств, что компания получила услуги, тоже не было. Зато у контрагентов обнаружились признаки техничек: отсутствовали платежи и ресурсы, а директор оказался номиналом (</w:t>
            </w:r>
            <w:hyperlink r:id="rId7" w:tgtFrame="_blank" w:history="1">
              <w:r w:rsidRPr="00C472EE">
                <w:rPr>
                  <w:rStyle w:val="ac"/>
                  <w:rFonts w:ascii="Times New Roman" w:hAnsi="Times New Roman"/>
                </w:rPr>
                <w:t>постановление Арбитражного суда Западно-Сибирского округа от 30.09.2025 по делу № А70-22626/2024</w:t>
              </w:r>
            </w:hyperlink>
            <w:r w:rsidRPr="00C472EE">
              <w:rPr>
                <w:rFonts w:ascii="Times New Roman" w:hAnsi="Times New Roman"/>
              </w:rPr>
              <w:t>)</w:t>
            </w:r>
          </w:p>
        </w:tc>
      </w:tr>
      <w:tr w:rsidR="00FB3591" w:rsidRPr="00C472EE" w14:paraId="17E9A77B" w14:textId="77777777" w:rsidTr="00027419">
        <w:tc>
          <w:tcPr>
            <w:tcW w:w="0" w:type="auto"/>
            <w:gridSpan w:val="2"/>
            <w:tcMar>
              <w:top w:w="105" w:type="dxa"/>
              <w:left w:w="0" w:type="dxa"/>
              <w:bottom w:w="105" w:type="dxa"/>
              <w:right w:w="525" w:type="dxa"/>
            </w:tcMar>
            <w:hideMark/>
          </w:tcPr>
          <w:p w14:paraId="0E5C46CF" w14:textId="77777777" w:rsidR="00FB3591" w:rsidRPr="00C472EE" w:rsidRDefault="00FB3591" w:rsidP="00027419">
            <w:pPr>
              <w:tabs>
                <w:tab w:val="num" w:pos="426"/>
              </w:tabs>
              <w:spacing w:after="0" w:line="240" w:lineRule="auto"/>
              <w:ind w:firstLine="284"/>
              <w:jc w:val="both"/>
              <w:rPr>
                <w:rFonts w:ascii="Times New Roman" w:hAnsi="Times New Roman"/>
                <w:b/>
                <w:bCs/>
              </w:rPr>
            </w:pPr>
            <w:r w:rsidRPr="00C472EE">
              <w:rPr>
                <w:rFonts w:ascii="Times New Roman" w:hAnsi="Times New Roman"/>
                <w:b/>
                <w:bCs/>
              </w:rPr>
              <w:t>О подтверждении реальности сделок</w:t>
            </w:r>
          </w:p>
          <w:p w14:paraId="0515299A" w14:textId="377A349D"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b/>
                <w:noProof/>
              </w:rPr>
              <w:drawing>
                <wp:inline distT="0" distB="0" distL="0" distR="0" wp14:anchorId="609551D6" wp14:editId="0ABE095F">
                  <wp:extent cx="1524000" cy="1200785"/>
                  <wp:effectExtent l="0" t="0" r="0" b="0"/>
                  <wp:docPr id="37898848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200785"/>
                          </a:xfrm>
                          <a:prstGeom prst="rect">
                            <a:avLst/>
                          </a:prstGeom>
                          <a:noFill/>
                          <a:ln>
                            <a:noFill/>
                          </a:ln>
                        </pic:spPr>
                      </pic:pic>
                    </a:graphicData>
                  </a:graphic>
                </wp:inline>
              </w:drawing>
            </w:r>
            <w:r w:rsidRPr="00C472EE">
              <w:rPr>
                <w:rFonts w:ascii="Times New Roman" w:hAnsi="Times New Roman"/>
                <w:b/>
                <w:bCs/>
              </w:rPr>
              <w:t> Единый IP-адрес при входе в онлайн-банк указывает на схему</w:t>
            </w:r>
          </w:p>
        </w:tc>
      </w:tr>
      <w:tr w:rsidR="00FB3591" w:rsidRPr="00C472EE" w14:paraId="2FC94C67" w14:textId="77777777" w:rsidTr="00027419">
        <w:tc>
          <w:tcPr>
            <w:tcW w:w="0" w:type="auto"/>
            <w:tcMar>
              <w:top w:w="105" w:type="dxa"/>
              <w:left w:w="0" w:type="dxa"/>
              <w:bottom w:w="105" w:type="dxa"/>
              <w:right w:w="525" w:type="dxa"/>
            </w:tcMar>
            <w:hideMark/>
          </w:tcPr>
          <w:p w14:paraId="79CAC570" w14:textId="77777777"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rPr>
              <w:t>На проверке инспекторы заподозрили завышение суммы вычетов по НДС и расходов по налогу на прибыль. Контролеры решили, что сделки нереальны. Одного контрагента исключили из ЕГРЮЛ из-за недостоверности сведений, при ликвидации компания представила нулевой баланс. По двум другим партнерам всплыл признак взаимозависимости — один IP-адрес при входе в онлайн-банк. Налоговая доначислила по сделкам НДС и налог на прибыль, компания обратилась в суд</w:t>
            </w:r>
          </w:p>
        </w:tc>
        <w:tc>
          <w:tcPr>
            <w:tcW w:w="0" w:type="auto"/>
            <w:tcMar>
              <w:top w:w="105" w:type="dxa"/>
              <w:left w:w="0" w:type="dxa"/>
              <w:bottom w:w="105" w:type="dxa"/>
              <w:right w:w="525" w:type="dxa"/>
            </w:tcMar>
            <w:hideMark/>
          </w:tcPr>
          <w:p w14:paraId="73055CE2" w14:textId="77777777"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rPr>
              <w:t xml:space="preserve">Компания отстояла позицию, но частично. С одним из контрагентов она подтвердила реальность сделки. Судьи не увидели в документах признаков фиктивности: компания оприходовала товары, представила платежки и накладные, отразила доходы от перепродажи. По остальным эпизодам организация подала </w:t>
            </w:r>
            <w:proofErr w:type="spellStart"/>
            <w:r w:rsidRPr="00C472EE">
              <w:rPr>
                <w:rFonts w:ascii="Times New Roman" w:hAnsi="Times New Roman"/>
              </w:rPr>
              <w:t>уточненки</w:t>
            </w:r>
            <w:proofErr w:type="spellEnd"/>
            <w:r w:rsidRPr="00C472EE">
              <w:rPr>
                <w:rFonts w:ascii="Times New Roman" w:hAnsi="Times New Roman"/>
              </w:rPr>
              <w:t> — сама исключила вычеты по НДС и расходы по налогу на прибыль (</w:t>
            </w:r>
            <w:hyperlink r:id="rId9" w:tgtFrame="_blank" w:history="1">
              <w:r w:rsidRPr="00C472EE">
                <w:rPr>
                  <w:rStyle w:val="ac"/>
                  <w:rFonts w:ascii="Times New Roman" w:hAnsi="Times New Roman"/>
                </w:rPr>
                <w:t xml:space="preserve">постановление Арбитражного суда Северо-Западного </w:t>
              </w:r>
              <w:r w:rsidRPr="00C472EE">
                <w:rPr>
                  <w:rStyle w:val="ac"/>
                  <w:rFonts w:ascii="Times New Roman" w:hAnsi="Times New Roman"/>
                </w:rPr>
                <w:lastRenderedPageBreak/>
                <w:t>округа от 24.09.2025 по делу № А56-124608/2023</w:t>
              </w:r>
            </w:hyperlink>
            <w:r w:rsidRPr="00C472EE">
              <w:rPr>
                <w:rFonts w:ascii="Times New Roman" w:hAnsi="Times New Roman"/>
              </w:rPr>
              <w:t>)</w:t>
            </w:r>
          </w:p>
        </w:tc>
      </w:tr>
      <w:tr w:rsidR="00FB3591" w:rsidRPr="00C472EE" w14:paraId="3811CEB1" w14:textId="77777777" w:rsidTr="00027419">
        <w:tc>
          <w:tcPr>
            <w:tcW w:w="0" w:type="auto"/>
            <w:gridSpan w:val="2"/>
            <w:tcMar>
              <w:top w:w="105" w:type="dxa"/>
              <w:left w:w="0" w:type="dxa"/>
              <w:bottom w:w="105" w:type="dxa"/>
              <w:right w:w="525" w:type="dxa"/>
            </w:tcMar>
            <w:hideMark/>
          </w:tcPr>
          <w:p w14:paraId="5884E076" w14:textId="77777777" w:rsidR="00FB3591" w:rsidRPr="00C472EE" w:rsidRDefault="00FB3591" w:rsidP="00027419">
            <w:pPr>
              <w:tabs>
                <w:tab w:val="num" w:pos="426"/>
              </w:tabs>
              <w:spacing w:after="0" w:line="240" w:lineRule="auto"/>
              <w:ind w:firstLine="284"/>
              <w:jc w:val="both"/>
              <w:rPr>
                <w:rFonts w:ascii="Times New Roman" w:hAnsi="Times New Roman"/>
                <w:b/>
                <w:bCs/>
              </w:rPr>
            </w:pPr>
            <w:r w:rsidRPr="00C472EE">
              <w:rPr>
                <w:rFonts w:ascii="Times New Roman" w:hAnsi="Times New Roman"/>
                <w:b/>
                <w:bCs/>
              </w:rPr>
              <w:lastRenderedPageBreak/>
              <w:t>О ресурсах контрагентов</w:t>
            </w:r>
          </w:p>
          <w:p w14:paraId="7CA3EEEC" w14:textId="615751ED"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b/>
                <w:noProof/>
              </w:rPr>
              <w:drawing>
                <wp:inline distT="0" distB="0" distL="0" distR="0" wp14:anchorId="5B71629F" wp14:editId="37C024FA">
                  <wp:extent cx="1524000" cy="1200785"/>
                  <wp:effectExtent l="0" t="0" r="0" b="0"/>
                  <wp:docPr id="37170201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200785"/>
                          </a:xfrm>
                          <a:prstGeom prst="rect">
                            <a:avLst/>
                          </a:prstGeom>
                          <a:noFill/>
                          <a:ln>
                            <a:noFill/>
                          </a:ln>
                        </pic:spPr>
                      </pic:pic>
                    </a:graphicData>
                  </a:graphic>
                </wp:inline>
              </w:drawing>
            </w:r>
            <w:r w:rsidRPr="00C472EE">
              <w:rPr>
                <w:rFonts w:ascii="Times New Roman" w:hAnsi="Times New Roman"/>
                <w:b/>
                <w:bCs/>
              </w:rPr>
              <w:t> Опасно заказывать работы и выполнять их самостоятельно</w:t>
            </w:r>
          </w:p>
        </w:tc>
      </w:tr>
      <w:tr w:rsidR="00FB3591" w:rsidRPr="00C472EE" w14:paraId="52525AFC" w14:textId="77777777" w:rsidTr="00027419">
        <w:tc>
          <w:tcPr>
            <w:tcW w:w="0" w:type="auto"/>
            <w:tcMar>
              <w:top w:w="105" w:type="dxa"/>
              <w:left w:w="0" w:type="dxa"/>
              <w:bottom w:w="105" w:type="dxa"/>
              <w:right w:w="525" w:type="dxa"/>
            </w:tcMar>
            <w:hideMark/>
          </w:tcPr>
          <w:p w14:paraId="1E3338FD" w14:textId="77777777"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rPr>
              <w:t>Компания заявила вычет НДС по строительным работам. Налоговики заподозрили схему: контрагенты платили минимальные налоги и заявляли много вычетов, имели признак взаимозависимости — полное совпадение по IP-адресам. Инспекторы доначислили НДС и пени, назначили компании штраф. Организация решила оспорить доначисления в суде</w:t>
            </w:r>
          </w:p>
        </w:tc>
        <w:tc>
          <w:tcPr>
            <w:tcW w:w="0" w:type="auto"/>
            <w:tcMar>
              <w:top w:w="105" w:type="dxa"/>
              <w:left w:w="0" w:type="dxa"/>
              <w:bottom w:w="105" w:type="dxa"/>
              <w:right w:w="525" w:type="dxa"/>
            </w:tcMar>
            <w:hideMark/>
          </w:tcPr>
          <w:p w14:paraId="2E1E0FD6" w14:textId="77777777"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rPr>
              <w:t>Суд поддержал налоговиков. У контрагентов не было ресурсов, чтобы исполнить обязательства по договору. Они не имели расходов, оборудования, транспорта, недвижимости. Компания выполняла строительные работы самостоятельно. Кроме того, через счета контрагентов совершались однотипные переводы на счета других организаций для вывода денег (</w:t>
            </w:r>
            <w:hyperlink r:id="rId10" w:tgtFrame="_blank" w:history="1">
              <w:r w:rsidRPr="00C472EE">
                <w:rPr>
                  <w:rStyle w:val="ac"/>
                  <w:rFonts w:ascii="Times New Roman" w:hAnsi="Times New Roman"/>
                </w:rPr>
                <w:t>постановление Арбитражного суда Поволжского округа от 22.09.2025 по делу № А57-14503/2024</w:t>
              </w:r>
            </w:hyperlink>
            <w:r w:rsidRPr="00C472EE">
              <w:rPr>
                <w:rFonts w:ascii="Times New Roman" w:hAnsi="Times New Roman"/>
              </w:rPr>
              <w:t>)</w:t>
            </w:r>
          </w:p>
        </w:tc>
      </w:tr>
      <w:tr w:rsidR="00FB3591" w:rsidRPr="00C472EE" w14:paraId="1E2D72C8" w14:textId="77777777" w:rsidTr="00027419">
        <w:tc>
          <w:tcPr>
            <w:tcW w:w="0" w:type="auto"/>
            <w:gridSpan w:val="2"/>
            <w:tcMar>
              <w:top w:w="105" w:type="dxa"/>
              <w:left w:w="0" w:type="dxa"/>
              <w:bottom w:w="105" w:type="dxa"/>
              <w:right w:w="525" w:type="dxa"/>
            </w:tcMar>
            <w:hideMark/>
          </w:tcPr>
          <w:p w14:paraId="3C795202" w14:textId="77777777" w:rsidR="00FB3591" w:rsidRPr="00C472EE" w:rsidRDefault="00FB3591" w:rsidP="00027419">
            <w:pPr>
              <w:tabs>
                <w:tab w:val="num" w:pos="426"/>
              </w:tabs>
              <w:spacing w:after="0" w:line="240" w:lineRule="auto"/>
              <w:ind w:firstLine="284"/>
              <w:jc w:val="both"/>
              <w:rPr>
                <w:rFonts w:ascii="Times New Roman" w:hAnsi="Times New Roman"/>
                <w:b/>
                <w:bCs/>
              </w:rPr>
            </w:pPr>
            <w:r w:rsidRPr="00C472EE">
              <w:rPr>
                <w:rFonts w:ascii="Times New Roman" w:hAnsi="Times New Roman"/>
                <w:b/>
                <w:bCs/>
              </w:rPr>
              <w:t>О дроблении бизнеса</w:t>
            </w:r>
          </w:p>
          <w:p w14:paraId="154BF61D" w14:textId="57A48EC8"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b/>
                <w:noProof/>
              </w:rPr>
              <w:drawing>
                <wp:inline distT="0" distB="0" distL="0" distR="0" wp14:anchorId="27E14C79" wp14:editId="43A2CD23">
                  <wp:extent cx="1524000" cy="1200785"/>
                  <wp:effectExtent l="0" t="0" r="0" b="0"/>
                  <wp:docPr id="11150860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200785"/>
                          </a:xfrm>
                          <a:prstGeom prst="rect">
                            <a:avLst/>
                          </a:prstGeom>
                          <a:noFill/>
                          <a:ln>
                            <a:noFill/>
                          </a:ln>
                        </pic:spPr>
                      </pic:pic>
                    </a:graphicData>
                  </a:graphic>
                </wp:inline>
              </w:drawing>
            </w:r>
            <w:r w:rsidRPr="00C472EE">
              <w:rPr>
                <w:rFonts w:ascii="Times New Roman" w:hAnsi="Times New Roman"/>
                <w:b/>
                <w:bCs/>
              </w:rPr>
              <w:t> Если у руководителя несколько компаний, это еще не значит, что есть дробление</w:t>
            </w:r>
          </w:p>
        </w:tc>
      </w:tr>
      <w:tr w:rsidR="00FB3591" w:rsidRPr="00C472EE" w14:paraId="6E3C4D61" w14:textId="77777777" w:rsidTr="00027419">
        <w:tc>
          <w:tcPr>
            <w:tcW w:w="0" w:type="auto"/>
            <w:tcMar>
              <w:top w:w="105" w:type="dxa"/>
              <w:left w:w="0" w:type="dxa"/>
              <w:bottom w:w="105" w:type="dxa"/>
              <w:right w:w="525" w:type="dxa"/>
            </w:tcMar>
            <w:hideMark/>
          </w:tcPr>
          <w:p w14:paraId="509917A1" w14:textId="77777777"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rPr>
              <w:t>Во время проверки компанию заподозрили в дроблении бизнеса. Один учредитель зарегистрировал несколько обществ, которые работали на спецрежимах. В связи с этим инспекторы доначислили НДС, налоги на прибыль и имущество, потребовали пени. Также компания получила штрафы за непредставление деклараций и другие правонарушения. Организация обратилась в суд</w:t>
            </w:r>
          </w:p>
        </w:tc>
        <w:tc>
          <w:tcPr>
            <w:tcW w:w="0" w:type="auto"/>
            <w:tcMar>
              <w:top w:w="105" w:type="dxa"/>
              <w:left w:w="0" w:type="dxa"/>
              <w:bottom w:w="105" w:type="dxa"/>
              <w:right w:w="525" w:type="dxa"/>
            </w:tcMar>
            <w:hideMark/>
          </w:tcPr>
          <w:p w14:paraId="1C2C6570" w14:textId="77777777" w:rsidR="00FB3591" w:rsidRPr="00C472EE" w:rsidRDefault="00FB3591" w:rsidP="00027419">
            <w:pPr>
              <w:tabs>
                <w:tab w:val="num" w:pos="426"/>
              </w:tabs>
              <w:spacing w:after="0" w:line="240" w:lineRule="auto"/>
              <w:ind w:firstLine="284"/>
              <w:jc w:val="both"/>
              <w:rPr>
                <w:rFonts w:ascii="Times New Roman" w:hAnsi="Times New Roman"/>
              </w:rPr>
            </w:pPr>
            <w:r w:rsidRPr="00C472EE">
              <w:rPr>
                <w:rFonts w:ascii="Times New Roman" w:hAnsi="Times New Roman"/>
              </w:rPr>
              <w:t>Судьи не обнаружили признаков дробления и отменили доначисления. Учредитель создал несколько компаний с деловой целью, получить налоговую выгоду он не хотел. Организации занимались разными видами деятельности и вели бизнес самостоятельно. Доказать, что компании делили общую выручку между собой, налоговикам не удалось (постановление Арбитражного суда Центрального округа от 22.09.2025 по делу № А64-10684/2023)</w:t>
            </w:r>
          </w:p>
        </w:tc>
      </w:tr>
    </w:tbl>
    <w:p w14:paraId="1A717E52" w14:textId="77777777" w:rsidR="00FB3591" w:rsidRPr="005A6792" w:rsidRDefault="00FB3591" w:rsidP="00FB3591">
      <w:pPr>
        <w:tabs>
          <w:tab w:val="num" w:pos="426"/>
        </w:tabs>
        <w:spacing w:after="0" w:line="240" w:lineRule="auto"/>
        <w:ind w:firstLine="284"/>
        <w:jc w:val="both"/>
        <w:rPr>
          <w:rFonts w:ascii="Times New Roman" w:hAnsi="Times New Roman"/>
        </w:rPr>
      </w:pPr>
    </w:p>
    <w:p w14:paraId="75BAA36D" w14:textId="6C7AA40A" w:rsidR="00B04A91" w:rsidRPr="00FB3591" w:rsidRDefault="00FB3591" w:rsidP="00FB3591">
      <w:pPr>
        <w:tabs>
          <w:tab w:val="num" w:pos="426"/>
        </w:tabs>
        <w:spacing w:after="0" w:line="240" w:lineRule="auto"/>
        <w:ind w:firstLine="284"/>
        <w:jc w:val="right"/>
      </w:pPr>
      <w:r w:rsidRPr="005A6792">
        <w:rPr>
          <w:rFonts w:ascii="Times New Roman" w:hAnsi="Times New Roman"/>
        </w:rPr>
        <w:t>Журнал «Главбух» №21, 2025 г.</w:t>
      </w:r>
    </w:p>
    <w:sectPr w:rsidR="00B04A91" w:rsidRPr="00FB3591" w:rsidSect="00CD0465">
      <w:pgSz w:w="11906" w:h="16838"/>
      <w:pgMar w:top="993"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91"/>
    <w:rsid w:val="001B781B"/>
    <w:rsid w:val="00215E42"/>
    <w:rsid w:val="00473343"/>
    <w:rsid w:val="005535F1"/>
    <w:rsid w:val="00597536"/>
    <w:rsid w:val="009A4717"/>
    <w:rsid w:val="009E2159"/>
    <w:rsid w:val="00B04A91"/>
    <w:rsid w:val="00CB1E97"/>
    <w:rsid w:val="00CD0465"/>
    <w:rsid w:val="00D34DC6"/>
    <w:rsid w:val="00D66071"/>
    <w:rsid w:val="00FB3591"/>
    <w:rsid w:val="00FB5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F21D"/>
  <w15:chartTrackingRefBased/>
  <w15:docId w15:val="{6E10E3DB-9BD2-4BCC-A0C9-31BAA364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A91"/>
    <w:rPr>
      <w:rFonts w:ascii="Calibri" w:eastAsia="Calibri" w:hAnsi="Calibri" w:cs="Times New Roman"/>
      <w14:ligatures w14:val="none"/>
    </w:rPr>
  </w:style>
  <w:style w:type="paragraph" w:styleId="1">
    <w:name w:val="heading 1"/>
    <w:basedOn w:val="a"/>
    <w:next w:val="a"/>
    <w:link w:val="10"/>
    <w:uiPriority w:val="9"/>
    <w:qFormat/>
    <w:rsid w:val="00B04A91"/>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B04A91"/>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B04A91"/>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B04A91"/>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B04A91"/>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B04A91"/>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B04A91"/>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B04A91"/>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B04A91"/>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A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04A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04A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04A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04A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04A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A91"/>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A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A91"/>
    <w:rPr>
      <w:rFonts w:eastAsiaTheme="majorEastAsia" w:cstheme="majorBidi"/>
      <w:color w:val="272727" w:themeColor="text1" w:themeTint="D8"/>
    </w:rPr>
  </w:style>
  <w:style w:type="paragraph" w:styleId="a3">
    <w:name w:val="Title"/>
    <w:basedOn w:val="a"/>
    <w:next w:val="a"/>
    <w:link w:val="a4"/>
    <w:uiPriority w:val="10"/>
    <w:qFormat/>
    <w:rsid w:val="00B04A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B04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A91"/>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B04A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A91"/>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22">
    <w:name w:val="Цитата 2 Знак"/>
    <w:basedOn w:val="a0"/>
    <w:link w:val="21"/>
    <w:uiPriority w:val="29"/>
    <w:rsid w:val="00B04A91"/>
    <w:rPr>
      <w:i/>
      <w:iCs/>
      <w:color w:val="404040" w:themeColor="text1" w:themeTint="BF"/>
    </w:rPr>
  </w:style>
  <w:style w:type="paragraph" w:styleId="a7">
    <w:name w:val="List Paragraph"/>
    <w:basedOn w:val="a"/>
    <w:uiPriority w:val="34"/>
    <w:qFormat/>
    <w:rsid w:val="00B04A91"/>
    <w:pPr>
      <w:ind w:left="720"/>
      <w:contextualSpacing/>
    </w:pPr>
    <w:rPr>
      <w:rFonts w:asciiTheme="minorHAnsi" w:eastAsiaTheme="minorHAnsi" w:hAnsiTheme="minorHAnsi" w:cstheme="minorBidi"/>
      <w14:ligatures w14:val="standardContextual"/>
    </w:rPr>
  </w:style>
  <w:style w:type="character" w:styleId="a8">
    <w:name w:val="Intense Emphasis"/>
    <w:basedOn w:val="a0"/>
    <w:uiPriority w:val="21"/>
    <w:qFormat/>
    <w:rsid w:val="00B04A91"/>
    <w:rPr>
      <w:i/>
      <w:iCs/>
      <w:color w:val="2F5496" w:themeColor="accent1" w:themeShade="BF"/>
    </w:rPr>
  </w:style>
  <w:style w:type="paragraph" w:styleId="a9">
    <w:name w:val="Intense Quote"/>
    <w:basedOn w:val="a"/>
    <w:next w:val="a"/>
    <w:link w:val="aa"/>
    <w:uiPriority w:val="30"/>
    <w:qFormat/>
    <w:rsid w:val="00B04A9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aa">
    <w:name w:val="Выделенная цитата Знак"/>
    <w:basedOn w:val="a0"/>
    <w:link w:val="a9"/>
    <w:uiPriority w:val="30"/>
    <w:rsid w:val="00B04A91"/>
    <w:rPr>
      <w:i/>
      <w:iCs/>
      <w:color w:val="2F5496" w:themeColor="accent1" w:themeShade="BF"/>
    </w:rPr>
  </w:style>
  <w:style w:type="character" w:styleId="ab">
    <w:name w:val="Intense Reference"/>
    <w:basedOn w:val="a0"/>
    <w:uiPriority w:val="32"/>
    <w:qFormat/>
    <w:rsid w:val="00B04A91"/>
    <w:rPr>
      <w:b/>
      <w:bCs/>
      <w:smallCaps/>
      <w:color w:val="2F5496" w:themeColor="accent1" w:themeShade="BF"/>
      <w:spacing w:val="5"/>
    </w:rPr>
  </w:style>
  <w:style w:type="character" w:styleId="ac">
    <w:name w:val="Hyperlink"/>
    <w:uiPriority w:val="99"/>
    <w:unhideWhenUsed/>
    <w:rsid w:val="00B04A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glavbukh.ru/npd-doc?npmid=98&amp;npid=10368371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3.gif"/><Relationship Id="rId5" Type="http://schemas.openxmlformats.org/officeDocument/2006/relationships/hyperlink" Target="https://e.glavbukh.ru/1159999" TargetMode="External"/><Relationship Id="rId10" Type="http://schemas.openxmlformats.org/officeDocument/2006/relationships/hyperlink" Target="https://e.glavbukh.ru/npd-doc?npmid=98&amp;npid=103654276" TargetMode="External"/><Relationship Id="rId4" Type="http://schemas.openxmlformats.org/officeDocument/2006/relationships/hyperlink" Target="https://glavbukh.1cont.ru/" TargetMode="External"/><Relationship Id="rId9" Type="http://schemas.openxmlformats.org/officeDocument/2006/relationships/hyperlink" Target="https://e.glavbukh.ru/npd-doc?npmid=98&amp;npid=103659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Хомякова</dc:creator>
  <cp:keywords/>
  <dc:description/>
  <cp:lastModifiedBy>Екатерина Хомякова</cp:lastModifiedBy>
  <cp:revision>2</cp:revision>
  <dcterms:created xsi:type="dcterms:W3CDTF">2025-11-07T10:48:00Z</dcterms:created>
  <dcterms:modified xsi:type="dcterms:W3CDTF">2025-11-07T10:48:00Z</dcterms:modified>
</cp:coreProperties>
</file>